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807B361" w:rsidR="00742C11" w:rsidRPr="00742C11" w:rsidRDefault="004E7062" w:rsidP="004E7062">
      <w:pPr>
        <w:pStyle w:val="Nr"/>
        <w:ind w:left="1418" w:hanging="1134"/>
      </w:pPr>
      <w:r w:rsidRPr="004E7062">
        <w:t xml:space="preserve">Część </w:t>
      </w:r>
      <w:r w:rsidR="00A13D60">
        <w:t>2</w:t>
      </w:r>
      <w:r w:rsidRPr="004E7062">
        <w:t>:</w:t>
      </w:r>
      <w:r w:rsidRPr="004E7062">
        <w:tab/>
      </w:r>
      <w:r w:rsidR="00A13D60" w:rsidRPr="00A13D60">
        <w:t>Przebudowa linii napowietrznej SN 15kV Siedlanka – Rudnik oraz budowa linii kablowej od stanowiska słupowego Nr 34 do 62 oraz od stanowiska Nr 33 do stacji trafo Majdan Łętowski II</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D4B71" w14:textId="77777777" w:rsidR="00FC77E5" w:rsidRDefault="00FC77E5" w:rsidP="004A302B">
      <w:pPr>
        <w:spacing w:line="240" w:lineRule="auto"/>
      </w:pPr>
      <w:r>
        <w:separator/>
      </w:r>
    </w:p>
  </w:endnote>
  <w:endnote w:type="continuationSeparator" w:id="0">
    <w:p w14:paraId="41ABFB7E" w14:textId="77777777" w:rsidR="00FC77E5" w:rsidRDefault="00FC77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C9674" w14:textId="77777777" w:rsidR="00FC77E5" w:rsidRDefault="00FC77E5" w:rsidP="004A302B">
      <w:pPr>
        <w:spacing w:line="240" w:lineRule="auto"/>
      </w:pPr>
      <w:r>
        <w:separator/>
      </w:r>
    </w:p>
  </w:footnote>
  <w:footnote w:type="continuationSeparator" w:id="0">
    <w:p w14:paraId="24DC4175" w14:textId="77777777" w:rsidR="00FC77E5" w:rsidRDefault="00FC77E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3D60"/>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C1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1F0"/>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C77E5"/>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1195</Words>
  <Characters>7175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2025-11-24T13:39:00Z</dcterms:created>
  <dcterms:modified xsi:type="dcterms:W3CDTF">2025-11-24T13:39:00Z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